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074" w:rsidRPr="000970EE" w:rsidRDefault="006D0074" w:rsidP="006D0074">
      <w:pPr>
        <w:keepNext/>
        <w:keepLines/>
        <w:jc w:val="center"/>
        <w:outlineLvl w:val="1"/>
        <w:rPr>
          <w:rFonts w:ascii="Times New Roman" w:hAnsi="Times New Roman" w:cs="Times New Roman"/>
          <w:sz w:val="56"/>
          <w:szCs w:val="56"/>
        </w:rPr>
      </w:pPr>
      <w:r w:rsidRPr="000970EE">
        <w:rPr>
          <w:rFonts w:ascii="Times New Roman" w:hAnsi="Times New Roman" w:cs="Times New Roman"/>
          <w:smallCaps/>
          <w:sz w:val="56"/>
          <w:szCs w:val="56"/>
        </w:rPr>
        <w:t>The History</w:t>
      </w:r>
    </w:p>
    <w:p w:rsidR="006D0074" w:rsidRPr="000970EE" w:rsidRDefault="006D0074" w:rsidP="006D0074">
      <w:pPr>
        <w:jc w:val="center"/>
        <w:rPr>
          <w:rFonts w:ascii="Times New Roman" w:hAnsi="Times New Roman" w:cs="Times New Roman"/>
          <w:sz w:val="16"/>
          <w:szCs w:val="16"/>
        </w:rPr>
      </w:pPr>
    </w:p>
    <w:p w:rsidR="006D0074" w:rsidRPr="000970EE" w:rsidRDefault="006D0074" w:rsidP="006D0074">
      <w:pPr>
        <w:jc w:val="center"/>
        <w:rPr>
          <w:rFonts w:ascii="Times New Roman" w:hAnsi="Times New Roman" w:cs="Times New Roman"/>
          <w:sz w:val="16"/>
          <w:szCs w:val="16"/>
        </w:rPr>
      </w:pPr>
    </w:p>
    <w:p w:rsidR="006D0074" w:rsidRPr="000970EE" w:rsidRDefault="006D0074" w:rsidP="006D0074">
      <w:pPr>
        <w:spacing w:line="480" w:lineRule="auto"/>
        <w:jc w:val="center"/>
        <w:rPr>
          <w:rFonts w:ascii="Times New Roman" w:hAnsi="Times New Roman" w:cs="Times New Roman"/>
          <w:smallCaps/>
          <w:sz w:val="18"/>
          <w:szCs w:val="18"/>
        </w:rPr>
      </w:pPr>
      <w:r w:rsidRPr="000970EE">
        <w:rPr>
          <w:rFonts w:ascii="Times New Roman" w:hAnsi="Times New Roman" w:cs="Times New Roman"/>
          <w:sz w:val="18"/>
          <w:szCs w:val="18"/>
        </w:rPr>
        <w:t>OF</w:t>
      </w:r>
    </w:p>
    <w:p w:rsidR="006D0074" w:rsidRPr="000970EE" w:rsidRDefault="006D0074" w:rsidP="006D0074">
      <w:pPr>
        <w:keepNext/>
        <w:keepLines/>
        <w:jc w:val="center"/>
        <w:outlineLvl w:val="0"/>
        <w:rPr>
          <w:rFonts w:ascii="Times New Roman" w:hAnsi="Times New Roman" w:cs="Times New Roman"/>
          <w:smallCaps/>
          <w:sz w:val="86"/>
          <w:szCs w:val="86"/>
        </w:rPr>
      </w:pPr>
      <w:r w:rsidRPr="000970EE">
        <w:rPr>
          <w:rFonts w:ascii="Times New Roman" w:hAnsi="Times New Roman" w:cs="Times New Roman"/>
          <w:smallCaps/>
          <w:sz w:val="86"/>
          <w:szCs w:val="86"/>
        </w:rPr>
        <w:t>Protestantism</w:t>
      </w:r>
    </w:p>
    <w:p w:rsidR="006D0074" w:rsidRPr="000970EE" w:rsidRDefault="006D0074" w:rsidP="006D0074">
      <w:pPr>
        <w:jc w:val="center"/>
        <w:rPr>
          <w:rFonts w:ascii="Times New Roman" w:hAnsi="Times New Roman" w:cs="Times New Roman"/>
          <w:bCs/>
          <w:sz w:val="18"/>
          <w:szCs w:val="18"/>
        </w:rPr>
      </w:pPr>
    </w:p>
    <w:p w:rsidR="006D0074" w:rsidRPr="000970EE" w:rsidRDefault="006D0074" w:rsidP="006D0074">
      <w:pPr>
        <w:jc w:val="center"/>
        <w:rPr>
          <w:rFonts w:ascii="Times New Roman" w:hAnsi="Times New Roman" w:cs="Times New Roman"/>
          <w:bCs/>
          <w:sz w:val="18"/>
          <w:szCs w:val="18"/>
        </w:rPr>
      </w:pPr>
    </w:p>
    <w:p w:rsidR="006D0074" w:rsidRPr="000970EE" w:rsidRDefault="006D0074" w:rsidP="006D0074">
      <w:pPr>
        <w:jc w:val="center"/>
        <w:rPr>
          <w:rFonts w:ascii="Times New Roman" w:hAnsi="Times New Roman" w:cs="Times New Roman"/>
          <w:bCs/>
          <w:sz w:val="18"/>
          <w:szCs w:val="18"/>
        </w:rPr>
      </w:pPr>
    </w:p>
    <w:p w:rsidR="006D0074" w:rsidRPr="000970EE" w:rsidRDefault="006D0074" w:rsidP="006D0074">
      <w:pPr>
        <w:jc w:val="center"/>
        <w:rPr>
          <w:rFonts w:ascii="Times New Roman" w:hAnsi="Times New Roman" w:cs="Times New Roman"/>
          <w:bCs/>
          <w:sz w:val="18"/>
          <w:szCs w:val="18"/>
        </w:rPr>
      </w:pPr>
      <w:r w:rsidRPr="000970EE">
        <w:rPr>
          <w:rFonts w:ascii="Times New Roman" w:hAnsi="Times New Roman" w:cs="Times New Roman"/>
          <w:bCs/>
          <w:sz w:val="18"/>
          <w:szCs w:val="18"/>
        </w:rPr>
        <w:t>BY THE</w:t>
      </w:r>
    </w:p>
    <w:p w:rsidR="006D0074" w:rsidRPr="000970EE" w:rsidRDefault="006D0074" w:rsidP="006D0074">
      <w:pPr>
        <w:keepNext/>
        <w:keepLines/>
        <w:jc w:val="center"/>
        <w:outlineLvl w:val="2"/>
        <w:rPr>
          <w:rFonts w:ascii="Times New Roman" w:hAnsi="Times New Roman" w:cs="Times New Roman"/>
          <w:smallCaps/>
          <w:sz w:val="28"/>
          <w:szCs w:val="28"/>
        </w:rPr>
      </w:pPr>
    </w:p>
    <w:p w:rsidR="006D0074" w:rsidRPr="000970EE" w:rsidRDefault="006D0074" w:rsidP="006D0074">
      <w:pPr>
        <w:keepNext/>
        <w:keepLines/>
        <w:jc w:val="center"/>
        <w:outlineLvl w:val="2"/>
        <w:rPr>
          <w:rFonts w:ascii="Book Antiqua" w:hAnsi="Book Antiqua" w:cs="Book Antiqua"/>
          <w:sz w:val="38"/>
          <w:szCs w:val="38"/>
        </w:rPr>
      </w:pPr>
      <w:r w:rsidRPr="000970EE">
        <w:rPr>
          <w:rFonts w:ascii="Times New Roman" w:hAnsi="Times New Roman" w:cs="Times New Roman"/>
          <w:smallCaps/>
          <w:sz w:val="28"/>
          <w:szCs w:val="28"/>
        </w:rPr>
        <w:t>Rev.</w:t>
      </w:r>
      <w:r w:rsidRPr="000970EE">
        <w:rPr>
          <w:rFonts w:ascii="Book Antiqua" w:hAnsi="Book Antiqua" w:cs="Book Antiqua"/>
          <w:sz w:val="38"/>
          <w:szCs w:val="38"/>
        </w:rPr>
        <w:t xml:space="preserve"> J. A. WYLIE, LL.D.</w:t>
      </w:r>
    </w:p>
    <w:p w:rsidR="006D0074" w:rsidRPr="000970EE" w:rsidRDefault="006D0074" w:rsidP="006D0074">
      <w:pPr>
        <w:keepNext/>
        <w:keepLines/>
        <w:jc w:val="center"/>
        <w:outlineLvl w:val="3"/>
        <w:rPr>
          <w:rFonts w:ascii="Times New Roman" w:hAnsi="Times New Roman" w:cs="Times New Roman"/>
        </w:rPr>
      </w:pPr>
    </w:p>
    <w:p w:rsidR="006D0074" w:rsidRPr="000970EE" w:rsidRDefault="006D0074" w:rsidP="006D0074">
      <w:pPr>
        <w:keepNext/>
        <w:keepLines/>
        <w:jc w:val="center"/>
        <w:outlineLvl w:val="3"/>
        <w:rPr>
          <w:rFonts w:ascii="Times New Roman" w:hAnsi="Times New Roman" w:cs="Times New Roman"/>
        </w:rPr>
      </w:pPr>
    </w:p>
    <w:p w:rsidR="006D0074" w:rsidRPr="000970EE" w:rsidRDefault="006D0074" w:rsidP="006D0074">
      <w:pPr>
        <w:keepNext/>
        <w:keepLines/>
        <w:jc w:val="center"/>
        <w:outlineLvl w:val="3"/>
        <w:rPr>
          <w:rFonts w:ascii="Times New Roman" w:hAnsi="Times New Roman" w:cs="Times New Roman"/>
        </w:rPr>
      </w:pPr>
    </w:p>
    <w:p w:rsidR="006D0074" w:rsidRPr="000970EE" w:rsidRDefault="006D0074" w:rsidP="006D0074">
      <w:pPr>
        <w:keepNext/>
        <w:keepLines/>
        <w:spacing w:line="360" w:lineRule="auto"/>
        <w:jc w:val="center"/>
        <w:outlineLvl w:val="3"/>
        <w:rPr>
          <w:rFonts w:ascii="Times New Roman" w:hAnsi="Times New Roman" w:cs="Times New Roman"/>
        </w:rPr>
      </w:pPr>
      <w:r w:rsidRPr="000970EE">
        <w:rPr>
          <w:rFonts w:ascii="Times New Roman" w:hAnsi="Times New Roman" w:cs="Times New Roman"/>
        </w:rPr>
        <w:t>WITH FIVE HUNDRED AND FIFTY ILLUSTRATIONS</w:t>
      </w:r>
    </w:p>
    <w:p w:rsidR="006D0074" w:rsidRPr="000970EE" w:rsidRDefault="006D0074" w:rsidP="006D0074">
      <w:pPr>
        <w:jc w:val="center"/>
        <w:rPr>
          <w:rFonts w:ascii="Times New Roman" w:hAnsi="Times New Roman" w:cs="Times New Roman"/>
          <w:i/>
          <w:iCs/>
          <w:sz w:val="18"/>
          <w:szCs w:val="18"/>
        </w:rPr>
      </w:pPr>
      <w:r w:rsidRPr="000970EE">
        <w:rPr>
          <w:rFonts w:ascii="Times New Roman" w:hAnsi="Times New Roman" w:cs="Times New Roman"/>
          <w:i/>
          <w:iCs/>
          <w:sz w:val="18"/>
          <w:szCs w:val="18"/>
        </w:rPr>
        <w:t>BY THE BEST ARTISTS</w:t>
      </w:r>
    </w:p>
    <w:p w:rsidR="006D0074" w:rsidRPr="000970EE" w:rsidRDefault="006D0074" w:rsidP="006D0074">
      <w:pPr>
        <w:spacing w:line="254" w:lineRule="auto"/>
        <w:rPr>
          <w:rFonts w:ascii="Times New Roman" w:hAnsi="Times New Roman" w:cs="Times New Roman"/>
          <w:smallCaps/>
          <w:sz w:val="16"/>
          <w:szCs w:val="16"/>
        </w:rPr>
      </w:pPr>
    </w:p>
    <w:p w:rsidR="006D0074" w:rsidRPr="000970EE" w:rsidRDefault="006D0074" w:rsidP="006D0074">
      <w:pPr>
        <w:spacing w:line="254" w:lineRule="auto"/>
        <w:rPr>
          <w:rFonts w:ascii="Times New Roman" w:hAnsi="Times New Roman" w:cs="Times New Roman"/>
          <w:smallCaps/>
          <w:sz w:val="22"/>
          <w:szCs w:val="22"/>
        </w:rPr>
      </w:pPr>
    </w:p>
    <w:p w:rsidR="006D0074" w:rsidRPr="000970EE" w:rsidRDefault="006D0074" w:rsidP="006D0074">
      <w:pPr>
        <w:spacing w:line="254" w:lineRule="auto"/>
        <w:rPr>
          <w:rFonts w:ascii="Times New Roman" w:hAnsi="Times New Roman" w:cs="Times New Roman"/>
          <w:smallCaps/>
          <w:sz w:val="22"/>
          <w:szCs w:val="22"/>
        </w:rPr>
      </w:pPr>
    </w:p>
    <w:p w:rsidR="006D0074" w:rsidRPr="000970EE" w:rsidRDefault="006D0074" w:rsidP="006D0074">
      <w:pPr>
        <w:spacing w:line="254" w:lineRule="auto"/>
        <w:rPr>
          <w:rFonts w:ascii="Times New Roman" w:hAnsi="Times New Roman" w:cs="Times New Roman"/>
          <w:smallCaps/>
          <w:sz w:val="22"/>
          <w:szCs w:val="22"/>
        </w:rPr>
      </w:pPr>
      <w:r w:rsidRPr="000970EE">
        <w:rPr>
          <w:rFonts w:ascii="Times New Roman" w:hAnsi="Times New Roman" w:cs="Times New Roman"/>
          <w:smallCaps/>
          <w:sz w:val="22"/>
          <w:szCs w:val="22"/>
        </w:rPr>
        <w:t>“Protestantism, the sacred cause of God’s Light and Truth against the Devil’s Falsity and Darkness.”—</w:t>
      </w:r>
      <w:r w:rsidRPr="000970EE">
        <w:rPr>
          <w:rFonts w:ascii="Times New Roman" w:hAnsi="Times New Roman" w:cs="Times New Roman"/>
          <w:i/>
          <w:iCs/>
          <w:sz w:val="22"/>
          <w:szCs w:val="22"/>
        </w:rPr>
        <w:t>Carlyle</w:t>
      </w:r>
    </w:p>
    <w:p w:rsidR="006D0074" w:rsidRPr="000970EE" w:rsidRDefault="006D0074" w:rsidP="006D0074">
      <w:pPr>
        <w:rPr>
          <w:rFonts w:ascii="Times New Roman" w:hAnsi="Times New Roman" w:cs="Times New Roman"/>
          <w:sz w:val="19"/>
          <w:szCs w:val="19"/>
        </w:rPr>
      </w:pPr>
    </w:p>
    <w:p w:rsidR="006D0074" w:rsidRPr="000970EE" w:rsidRDefault="006D0074" w:rsidP="006D0074">
      <w:pPr>
        <w:rPr>
          <w:rFonts w:ascii="Times New Roman" w:hAnsi="Times New Roman" w:cs="Times New Roman"/>
          <w:sz w:val="19"/>
          <w:szCs w:val="19"/>
        </w:rPr>
      </w:pPr>
    </w:p>
    <w:p w:rsidR="006D0074" w:rsidRPr="000970EE" w:rsidRDefault="006D0074" w:rsidP="006D0074">
      <w:pPr>
        <w:rPr>
          <w:rFonts w:ascii="Times New Roman" w:hAnsi="Times New Roman" w:cs="Times New Roman"/>
          <w:sz w:val="32"/>
          <w:szCs w:val="32"/>
        </w:rPr>
      </w:pPr>
    </w:p>
    <w:p w:rsidR="006D0074" w:rsidRPr="000970EE" w:rsidRDefault="006D0074" w:rsidP="006D0074">
      <w:pPr>
        <w:jc w:val="center"/>
        <w:rPr>
          <w:rFonts w:ascii="Times New Roman" w:hAnsi="Times New Roman" w:cs="Times New Roman"/>
          <w:i/>
          <w:iCs/>
          <w:sz w:val="32"/>
          <w:szCs w:val="32"/>
        </w:rPr>
      </w:pPr>
      <w:r w:rsidRPr="000970EE">
        <w:rPr>
          <w:rFonts w:ascii="Times New Roman" w:hAnsi="Times New Roman" w:cs="Times New Roman"/>
          <w:sz w:val="32"/>
          <w:szCs w:val="32"/>
        </w:rPr>
        <w:t>VOL. 1.</w:t>
      </w:r>
    </w:p>
    <w:p w:rsidR="006D0074" w:rsidRPr="000970EE" w:rsidRDefault="006D0074" w:rsidP="006D0074">
      <w:pPr>
        <w:spacing w:line="389" w:lineRule="auto"/>
        <w:jc w:val="center"/>
        <w:rPr>
          <w:rFonts w:ascii="Times New Roman" w:hAnsi="Times New Roman" w:cs="Times New Roman"/>
          <w:sz w:val="28"/>
          <w:szCs w:val="28"/>
        </w:rPr>
      </w:pPr>
    </w:p>
    <w:p w:rsidR="006D0074" w:rsidRPr="000970EE" w:rsidRDefault="006D0074" w:rsidP="006D0074">
      <w:pPr>
        <w:spacing w:line="389" w:lineRule="auto"/>
        <w:jc w:val="center"/>
        <w:rPr>
          <w:rFonts w:ascii="Times New Roman" w:hAnsi="Times New Roman" w:cs="Times New Roman"/>
          <w:sz w:val="28"/>
          <w:szCs w:val="28"/>
        </w:rPr>
      </w:pPr>
    </w:p>
    <w:p w:rsidR="006D0074" w:rsidRPr="000970EE" w:rsidRDefault="006D0074" w:rsidP="006D0074">
      <w:pPr>
        <w:spacing w:line="389" w:lineRule="auto"/>
        <w:jc w:val="center"/>
        <w:rPr>
          <w:rFonts w:ascii="Times New Roman" w:hAnsi="Times New Roman" w:cs="Times New Roman"/>
          <w:sz w:val="28"/>
          <w:szCs w:val="28"/>
        </w:rPr>
      </w:pPr>
    </w:p>
    <w:p w:rsidR="006D0074" w:rsidRPr="000970EE" w:rsidRDefault="006D0074" w:rsidP="006D0074">
      <w:pPr>
        <w:spacing w:line="389" w:lineRule="auto"/>
        <w:jc w:val="center"/>
        <w:rPr>
          <w:rFonts w:ascii="Times New Roman" w:hAnsi="Times New Roman" w:cs="Times New Roman"/>
          <w:smallCaps/>
          <w:sz w:val="28"/>
          <w:szCs w:val="28"/>
        </w:rPr>
      </w:pPr>
      <w:r w:rsidRPr="000970EE">
        <w:rPr>
          <w:rFonts w:ascii="Times New Roman" w:hAnsi="Times New Roman" w:cs="Times New Roman"/>
          <w:sz w:val="28"/>
          <w:szCs w:val="28"/>
        </w:rPr>
        <w:t xml:space="preserve">CASSELL </w:t>
      </w:r>
      <w:r w:rsidRPr="000970EE">
        <w:rPr>
          <w:rFonts w:ascii="Times New Roman" w:hAnsi="Times New Roman" w:cs="Times New Roman"/>
          <w:smallCaps/>
          <w:sz w:val="28"/>
          <w:szCs w:val="28"/>
        </w:rPr>
        <w:t>and</w:t>
      </w:r>
      <w:r w:rsidRPr="000970EE">
        <w:rPr>
          <w:rFonts w:ascii="Times New Roman" w:hAnsi="Times New Roman" w:cs="Times New Roman"/>
          <w:sz w:val="28"/>
          <w:szCs w:val="28"/>
        </w:rPr>
        <w:t xml:space="preserve"> COMPANY, </w:t>
      </w:r>
      <w:r w:rsidRPr="000970EE">
        <w:rPr>
          <w:rFonts w:ascii="Times New Roman" w:hAnsi="Times New Roman" w:cs="Times New Roman"/>
          <w:smallCaps/>
          <w:sz w:val="28"/>
          <w:szCs w:val="28"/>
        </w:rPr>
        <w:t>Limited</w:t>
      </w:r>
    </w:p>
    <w:p w:rsidR="006D0074" w:rsidRPr="000970EE" w:rsidRDefault="006D0074" w:rsidP="006D0074">
      <w:pPr>
        <w:spacing w:line="389" w:lineRule="auto"/>
        <w:jc w:val="center"/>
        <w:rPr>
          <w:rFonts w:ascii="Times New Roman" w:hAnsi="Times New Roman" w:cs="Times New Roman"/>
          <w:i/>
          <w:iCs/>
          <w:sz w:val="19"/>
          <w:szCs w:val="19"/>
        </w:rPr>
      </w:pPr>
      <w:r w:rsidRPr="000970EE">
        <w:rPr>
          <w:rFonts w:ascii="Times New Roman" w:hAnsi="Times New Roman" w:cs="Times New Roman"/>
          <w:i/>
          <w:iCs/>
          <w:sz w:val="19"/>
          <w:szCs w:val="19"/>
        </w:rPr>
        <w:t>LONDON, PARIS, NEW YORK &amp; MELBOURNE</w:t>
      </w:r>
    </w:p>
    <w:p w:rsidR="006D0074" w:rsidRPr="000970EE" w:rsidRDefault="006D0074" w:rsidP="006D0074">
      <w:pPr>
        <w:spacing w:line="389" w:lineRule="auto"/>
        <w:jc w:val="center"/>
        <w:rPr>
          <w:rFonts w:ascii="Times New Roman" w:hAnsi="Times New Roman" w:cs="Times New Roman"/>
          <w:i/>
          <w:iCs/>
          <w:sz w:val="28"/>
          <w:szCs w:val="28"/>
        </w:rPr>
      </w:pPr>
    </w:p>
    <w:p w:rsidR="006D0074" w:rsidRPr="000970EE" w:rsidRDefault="006D0074" w:rsidP="006D0074">
      <w:pPr>
        <w:spacing w:line="389" w:lineRule="auto"/>
        <w:jc w:val="center"/>
        <w:rPr>
          <w:rFonts w:ascii="Times New Roman" w:hAnsi="Times New Roman" w:cs="Times New Roman"/>
          <w:i/>
          <w:iCs/>
          <w:sz w:val="28"/>
          <w:szCs w:val="28"/>
        </w:rPr>
      </w:pPr>
      <w:r w:rsidRPr="000970EE">
        <w:rPr>
          <w:rFonts w:ascii="Times New Roman" w:hAnsi="Times New Roman" w:cs="Times New Roman"/>
          <w:sz w:val="28"/>
          <w:szCs w:val="28"/>
        </w:rPr>
        <w:t>1899</w:t>
      </w:r>
    </w:p>
    <w:p w:rsidR="006D0074" w:rsidRPr="000970EE" w:rsidRDefault="006D0074" w:rsidP="006D0074">
      <w:pPr>
        <w:jc w:val="center"/>
        <w:rPr>
          <w:rFonts w:ascii="Times New Roman" w:hAnsi="Times New Roman" w:cs="Times New Roman"/>
          <w:bCs/>
          <w:sz w:val="18"/>
          <w:szCs w:val="18"/>
        </w:rPr>
      </w:pPr>
    </w:p>
    <w:p w:rsidR="006D0074" w:rsidRPr="000970EE" w:rsidRDefault="006D0074" w:rsidP="006D0074">
      <w:pPr>
        <w:jc w:val="center"/>
        <w:rPr>
          <w:rFonts w:ascii="Times New Roman" w:hAnsi="Times New Roman" w:cs="Times New Roman"/>
          <w:bCs/>
          <w:sz w:val="18"/>
          <w:szCs w:val="18"/>
        </w:rPr>
      </w:pPr>
      <w:r w:rsidRPr="000970EE">
        <w:rPr>
          <w:rFonts w:ascii="Times New Roman" w:hAnsi="Times New Roman" w:cs="Times New Roman"/>
          <w:bCs/>
          <w:sz w:val="18"/>
          <w:szCs w:val="18"/>
        </w:rPr>
        <w:t>ALL RIGHTS RESERVED</w:t>
      </w:r>
    </w:p>
    <w:p w:rsidR="006D0074" w:rsidRPr="000970EE" w:rsidRDefault="006D0074" w:rsidP="006D0074">
      <w:pPr>
        <w:widowControl/>
        <w:spacing w:after="160" w:line="259" w:lineRule="auto"/>
        <w:rPr>
          <w:rFonts w:ascii="Times New Roman" w:hAnsi="Times New Roman" w:cs="Times New Roman"/>
          <w:color w:val="auto"/>
          <w:sz w:val="36"/>
          <w:szCs w:val="36"/>
          <w:shd w:val="clear" w:color="auto" w:fill="FFFFFF"/>
        </w:rPr>
      </w:pPr>
      <w:r w:rsidRPr="000970EE">
        <w:rPr>
          <w:rFonts w:ascii="Times New Roman" w:hAnsi="Times New Roman" w:cs="Times New Roman"/>
          <w:color w:val="auto"/>
          <w:sz w:val="36"/>
          <w:szCs w:val="36"/>
          <w:shd w:val="clear" w:color="auto" w:fill="FFFFFF"/>
        </w:rPr>
        <w:br w:type="page"/>
      </w:r>
    </w:p>
    <w:p w:rsidR="005162F8" w:rsidRPr="00FE2BE6" w:rsidRDefault="005162F8" w:rsidP="00FE2BE6">
      <w:pPr>
        <w:pStyle w:val="BodyText"/>
        <w:shd w:val="clear" w:color="auto" w:fill="auto"/>
        <w:spacing w:line="276" w:lineRule="auto"/>
        <w:ind w:firstLine="0"/>
        <w:jc w:val="center"/>
        <w:rPr>
          <w:sz w:val="24"/>
          <w:szCs w:val="24"/>
        </w:rPr>
      </w:pPr>
      <w:r w:rsidRPr="00FE2BE6">
        <w:rPr>
          <w:rStyle w:val="BodyTextChar1"/>
          <w:color w:val="000000"/>
          <w:sz w:val="24"/>
          <w:szCs w:val="24"/>
        </w:rPr>
        <w:lastRenderedPageBreak/>
        <w:t>CHAPTER XII.</w:t>
      </w:r>
    </w:p>
    <w:p w:rsidR="005162F8" w:rsidRPr="00FE2BE6" w:rsidRDefault="005162F8" w:rsidP="00FE2BE6">
      <w:pPr>
        <w:spacing w:line="276" w:lineRule="auto"/>
        <w:jc w:val="center"/>
        <w:rPr>
          <w:rFonts w:cs="Times New Roman"/>
          <w:color w:val="auto"/>
          <w:sz w:val="20"/>
          <w:szCs w:val="20"/>
        </w:rPr>
      </w:pPr>
    </w:p>
    <w:p w:rsidR="005162F8" w:rsidRPr="00FE2BE6" w:rsidRDefault="00FE2BE6" w:rsidP="00FE2BE6">
      <w:pPr>
        <w:pStyle w:val="Bodytext20"/>
        <w:shd w:val="clear" w:color="auto" w:fill="auto"/>
        <w:spacing w:line="276" w:lineRule="auto"/>
        <w:ind w:left="0"/>
        <w:jc w:val="center"/>
        <w:rPr>
          <w:sz w:val="20"/>
          <w:szCs w:val="20"/>
        </w:rPr>
      </w:pPr>
      <w:bookmarkStart w:id="0" w:name="_GoBack"/>
      <w:r w:rsidRPr="00FE2BE6">
        <w:rPr>
          <w:rStyle w:val="Bodytext2"/>
          <w:color w:val="000000"/>
          <w:sz w:val="20"/>
          <w:szCs w:val="20"/>
        </w:rPr>
        <w:t>WICLIFFE’S APPEAL TO PARLIAMENT.</w:t>
      </w:r>
    </w:p>
    <w:bookmarkEnd w:id="0"/>
    <w:p w:rsidR="005162F8" w:rsidRDefault="005162F8" w:rsidP="00FE2BE6">
      <w:pPr>
        <w:spacing w:line="276" w:lineRule="auto"/>
        <w:jc w:val="both"/>
        <w:rPr>
          <w:rFonts w:cs="Times New Roman"/>
          <w:color w:val="auto"/>
        </w:rPr>
      </w:pPr>
    </w:p>
    <w:p w:rsidR="005162F8" w:rsidRPr="00FE2BE6" w:rsidRDefault="005162F8" w:rsidP="00FE2BE6">
      <w:pPr>
        <w:pStyle w:val="Bodytext20"/>
        <w:shd w:val="clear" w:color="auto" w:fill="auto"/>
        <w:spacing w:line="276" w:lineRule="auto"/>
        <w:ind w:left="270" w:hanging="270"/>
        <w:rPr>
          <w:sz w:val="19"/>
          <w:szCs w:val="19"/>
        </w:rPr>
      </w:pPr>
      <w:r w:rsidRPr="00FE2BE6">
        <w:rPr>
          <w:rStyle w:val="Bodytext2"/>
          <w:color w:val="000000"/>
          <w:sz w:val="19"/>
          <w:szCs w:val="19"/>
        </w:rPr>
        <w:t>Parliament meets—Wicliffe appears, and demands a Sweeping Reform—His Propositions touching the Monastic Orders—The Church’s Temporalities—Transubstantiation—His growing Boldness—His Views find an echo in Parliament—The Persecuting Edict Repealed.</w:t>
      </w:r>
    </w:p>
    <w:p w:rsidR="005162F8" w:rsidRDefault="005162F8" w:rsidP="00FE2BE6">
      <w:pPr>
        <w:spacing w:line="276" w:lineRule="auto"/>
        <w:jc w:val="both"/>
        <w:rPr>
          <w:rFonts w:cs="Times New Roman"/>
          <w:color w:val="auto"/>
        </w:rPr>
      </w:pPr>
    </w:p>
    <w:p w:rsidR="005162F8" w:rsidRPr="00FE2BE6" w:rsidRDefault="005162F8" w:rsidP="00FE2BE6">
      <w:pPr>
        <w:pStyle w:val="BodyText"/>
        <w:shd w:val="clear" w:color="auto" w:fill="auto"/>
        <w:spacing w:line="276" w:lineRule="auto"/>
        <w:ind w:firstLine="0"/>
        <w:rPr>
          <w:sz w:val="24"/>
          <w:szCs w:val="24"/>
        </w:rPr>
      </w:pPr>
      <w:r w:rsidRPr="00FE2BE6">
        <w:rPr>
          <w:rStyle w:val="BodyTextChar1"/>
          <w:smallCaps/>
          <w:color w:val="000000"/>
          <w:sz w:val="24"/>
          <w:szCs w:val="24"/>
        </w:rPr>
        <w:t>The</w:t>
      </w:r>
      <w:r w:rsidRPr="00FE2BE6">
        <w:rPr>
          <w:rStyle w:val="BodyTextChar1"/>
          <w:color w:val="000000"/>
          <w:sz w:val="24"/>
          <w:szCs w:val="24"/>
        </w:rPr>
        <w:t xml:space="preserve"> Parliament met on the 19th November, 1382.</w:t>
      </w:r>
      <w:r w:rsidR="00FE2BE6">
        <w:rPr>
          <w:rStyle w:val="FootnoteReference"/>
          <w:color w:val="000000"/>
          <w:sz w:val="24"/>
          <w:szCs w:val="24"/>
        </w:rPr>
        <w:footnoteReference w:id="1"/>
      </w:r>
      <w:r w:rsidRPr="00FE2BE6">
        <w:rPr>
          <w:rStyle w:val="BodyTextChar1"/>
          <w:color w:val="000000"/>
          <w:sz w:val="24"/>
          <w:szCs w:val="24"/>
          <w:vertAlign w:val="superscript"/>
        </w:rPr>
        <w:t xml:space="preserve"> </w:t>
      </w:r>
      <w:r w:rsidRPr="00FE2BE6">
        <w:rPr>
          <w:rStyle w:val="BodyTextChar1"/>
          <w:color w:val="000000"/>
          <w:sz w:val="24"/>
          <w:szCs w:val="24"/>
        </w:rPr>
        <w:t>Wicliffe could now prosecute his appeal to the king against the sentence of the university court, con</w:t>
      </w:r>
      <w:r w:rsidRPr="00FE2BE6">
        <w:rPr>
          <w:rStyle w:val="BodyTextChar1"/>
          <w:color w:val="000000"/>
          <w:sz w:val="24"/>
          <w:szCs w:val="24"/>
        </w:rPr>
        <w:softHyphen/>
        <w:t>demning his twelve propositions. But the prelates had been beforehand with him. They had inveigled the sovereign into lending them the sword of the State to wield at will against Wicliffe, and against all who should doubt the tremendous mystery of transubstantiation. Well, they might burn him to-morrow, but he lived today, and the doors of Parliament stood open. Wicliffe made haste to enter with his appeal and complaint. The hierarchy had secretly accused him to the king, he openly arraigns them before the Estates of the Realm.</w:t>
      </w:r>
    </w:p>
    <w:p w:rsidR="005162F8" w:rsidRPr="00FE2BE6" w:rsidRDefault="005162F8" w:rsidP="00FE2BE6">
      <w:pPr>
        <w:pStyle w:val="BodyText"/>
        <w:shd w:val="clear" w:color="auto" w:fill="auto"/>
        <w:spacing w:line="276" w:lineRule="auto"/>
        <w:ind w:firstLine="360"/>
        <w:rPr>
          <w:sz w:val="24"/>
          <w:szCs w:val="24"/>
        </w:rPr>
      </w:pPr>
      <w:r w:rsidRPr="00FE2BE6">
        <w:rPr>
          <w:rStyle w:val="BodyTextChar1"/>
          <w:color w:val="000000"/>
          <w:sz w:val="24"/>
          <w:szCs w:val="24"/>
        </w:rPr>
        <w:t>The complaint presented by Wicliffe touched on four heads, and on each it demanded a very sweep</w:t>
      </w:r>
      <w:r w:rsidRPr="00FE2BE6">
        <w:rPr>
          <w:rStyle w:val="BodyTextChar1"/>
          <w:color w:val="000000"/>
          <w:sz w:val="24"/>
          <w:szCs w:val="24"/>
        </w:rPr>
        <w:softHyphen/>
        <w:t>ing measure of reform. The first grievance to be abated or abolished was the monastic orders. The Reformer demanded that they should be released from the unnatural and immoral vow which made them the scandal of the Chur</w:t>
      </w:r>
      <w:r w:rsidR="00316B08">
        <w:rPr>
          <w:rStyle w:val="BodyTextChar1"/>
          <w:color w:val="000000"/>
          <w:sz w:val="24"/>
          <w:szCs w:val="24"/>
        </w:rPr>
        <w:t>ch, and the pests of society. “</w:t>
      </w:r>
      <w:r w:rsidRPr="00FE2BE6">
        <w:rPr>
          <w:rStyle w:val="BodyTextChar1"/>
          <w:color w:val="000000"/>
          <w:sz w:val="24"/>
          <w:szCs w:val="24"/>
        </w:rPr>
        <w:t>Since Jesus Christ shed His blood to fre</w:t>
      </w:r>
      <w:r w:rsidR="00316B08">
        <w:rPr>
          <w:rStyle w:val="BodyTextChar1"/>
          <w:color w:val="000000"/>
          <w:sz w:val="24"/>
          <w:szCs w:val="24"/>
        </w:rPr>
        <w:t>e His Church,” said Wicliffe, “</w:t>
      </w:r>
      <w:r w:rsidRPr="00FE2BE6">
        <w:rPr>
          <w:rStyle w:val="BodyTextChar1"/>
          <w:color w:val="000000"/>
          <w:sz w:val="24"/>
          <w:szCs w:val="24"/>
        </w:rPr>
        <w:t>I demand its freedom. I demand that every one may leave these gloomy walls [the convents] within which a tyrannical law prevails, and embrace a simple and peaceful life under the open vault of heaven.”</w:t>
      </w:r>
    </w:p>
    <w:p w:rsidR="005162F8" w:rsidRPr="00FE2BE6" w:rsidRDefault="005162F8" w:rsidP="00FE2BE6">
      <w:pPr>
        <w:pStyle w:val="BodyText"/>
        <w:shd w:val="clear" w:color="auto" w:fill="auto"/>
        <w:spacing w:line="276" w:lineRule="auto"/>
        <w:ind w:firstLine="360"/>
        <w:rPr>
          <w:sz w:val="24"/>
          <w:szCs w:val="24"/>
        </w:rPr>
      </w:pPr>
      <w:r w:rsidRPr="00FE2BE6">
        <w:rPr>
          <w:rStyle w:val="BodyTextChar1"/>
          <w:color w:val="000000"/>
          <w:sz w:val="24"/>
          <w:szCs w:val="24"/>
        </w:rPr>
        <w:t xml:space="preserve">The second part of the complaint had reference to </w:t>
      </w:r>
      <w:r w:rsidR="00316B08">
        <w:rPr>
          <w:rStyle w:val="BodyTextChar1"/>
          <w:color w:val="000000"/>
          <w:sz w:val="24"/>
          <w:szCs w:val="24"/>
        </w:rPr>
        <w:t>the temporalities of the Church.</w:t>
      </w:r>
      <w:r w:rsidRPr="00FE2BE6">
        <w:rPr>
          <w:rStyle w:val="BodyTextChar1"/>
          <w:color w:val="000000"/>
          <w:sz w:val="24"/>
          <w:szCs w:val="24"/>
        </w:rPr>
        <w:t xml:space="preserve"> The corruption and inefficiency of the clergy, Wicliffe traced largely to their enormous wealth. That the clergy them</w:t>
      </w:r>
      <w:r w:rsidRPr="00FE2BE6">
        <w:rPr>
          <w:rStyle w:val="BodyTextChar1"/>
          <w:color w:val="000000"/>
          <w:sz w:val="24"/>
          <w:szCs w:val="24"/>
        </w:rPr>
        <w:softHyphen/>
        <w:t>selves would surrender these overgrown revenues he did not expect; he called, therefore, for the interference of the State, holding, despite the oppo</w:t>
      </w:r>
      <w:r w:rsidRPr="00FE2BE6">
        <w:rPr>
          <w:rStyle w:val="BodyTextChar1"/>
          <w:color w:val="000000"/>
          <w:sz w:val="24"/>
          <w:szCs w:val="24"/>
        </w:rPr>
        <w:softHyphen/>
        <w:t>site doctrine promulgated by the priests, that both the property and persons of the priesthood were under the jurisdiction of the king. “Magistracy,” he affirms, is “ God’s ordinance;” and he remarks that the Apostle Paul, “who putteth all men in subjection to kings, taketh out never a one.” And analogous to this was the third part of the paper, which related to tithes and offerings. Let these, said Wicliffe, be remodelled. Let tithes and offer</w:t>
      </w:r>
      <w:r w:rsidRPr="00FE2BE6">
        <w:rPr>
          <w:rStyle w:val="BodyTextChar1"/>
          <w:color w:val="000000"/>
          <w:sz w:val="24"/>
          <w:szCs w:val="24"/>
        </w:rPr>
        <w:softHyphen/>
      </w:r>
      <w:r w:rsidR="00FE2BE6">
        <w:rPr>
          <w:rStyle w:val="BodyTextChar1"/>
          <w:color w:val="000000"/>
          <w:sz w:val="24"/>
          <w:szCs w:val="24"/>
        </w:rPr>
        <w:t>i</w:t>
      </w:r>
      <w:r w:rsidRPr="00FE2BE6">
        <w:rPr>
          <w:rStyle w:val="BodyTextChar1"/>
          <w:color w:val="000000"/>
          <w:sz w:val="24"/>
          <w:szCs w:val="24"/>
        </w:rPr>
        <w:t xml:space="preserve">ngs be on a scale </w:t>
      </w:r>
      <w:r w:rsidR="00316B08">
        <w:rPr>
          <w:rStyle w:val="BodyTextChar1"/>
          <w:color w:val="000000"/>
          <w:sz w:val="24"/>
          <w:szCs w:val="24"/>
        </w:rPr>
        <w:t>which shall be amply sufficient</w:t>
      </w:r>
      <w:r w:rsidRPr="00FE2BE6">
        <w:rPr>
          <w:rStyle w:val="BodyTextChar1"/>
          <w:color w:val="000000"/>
          <w:sz w:val="24"/>
          <w:szCs w:val="24"/>
        </w:rPr>
        <w:t xml:space="preserve"> for the support of the recipients</w:t>
      </w:r>
      <w:r w:rsidR="00316B08">
        <w:rPr>
          <w:rStyle w:val="BodyTextChar1"/>
          <w:color w:val="000000"/>
          <w:sz w:val="24"/>
          <w:szCs w:val="24"/>
        </w:rPr>
        <w:t>,</w:t>
      </w:r>
      <w:r w:rsidRPr="00FE2BE6">
        <w:rPr>
          <w:rStyle w:val="BodyTextChar1"/>
          <w:color w:val="000000"/>
          <w:sz w:val="24"/>
          <w:szCs w:val="24"/>
        </w:rPr>
        <w:t xml:space="preserve"> in the discharge of their sacred duties, but not such as to minister to their luxury and pride; and if a priest shall be found to be indolent or vicious, let neither tithe nor offering be given him. </w:t>
      </w:r>
      <w:r w:rsidRPr="00FE2BE6">
        <w:rPr>
          <w:rStyle w:val="BodyTextChar1"/>
          <w:color w:val="000000"/>
          <w:sz w:val="24"/>
          <w:szCs w:val="24"/>
        </w:rPr>
        <w:lastRenderedPageBreak/>
        <w:t>“I demand,” he said, “that the poor inhabitants of our towns and villages be not constrained to furnish a worldly priest, often a vicious man and a heretic, with the means of satisfy</w:t>
      </w:r>
      <w:r w:rsidRPr="00FE2BE6">
        <w:rPr>
          <w:rStyle w:val="BodyTextChar1"/>
          <w:color w:val="000000"/>
          <w:sz w:val="24"/>
          <w:szCs w:val="24"/>
        </w:rPr>
        <w:softHyphen/>
        <w:t>ing his ostentation, his gluttony and his licentious</w:t>
      </w:r>
      <w:r w:rsidRPr="00FE2BE6">
        <w:rPr>
          <w:rStyle w:val="BodyTextChar1"/>
          <w:color w:val="000000"/>
          <w:sz w:val="24"/>
          <w:szCs w:val="24"/>
        </w:rPr>
        <w:softHyphen/>
        <w:t>ness—of buying a showy horse, costly saddles, bridles with tinkling bells, rich garments and soft furs, while they see the wives and children of their neighbours dying of hunger.”</w:t>
      </w:r>
      <w:r w:rsidR="00FE2BE6">
        <w:rPr>
          <w:rStyle w:val="FootnoteReference"/>
          <w:color w:val="000000"/>
          <w:sz w:val="24"/>
          <w:szCs w:val="24"/>
        </w:rPr>
        <w:footnoteReference w:id="2"/>
      </w:r>
    </w:p>
    <w:p w:rsidR="00FE2BE6" w:rsidRDefault="005162F8" w:rsidP="00FE2BE6">
      <w:pPr>
        <w:pStyle w:val="BodyText"/>
        <w:shd w:val="clear" w:color="auto" w:fill="auto"/>
        <w:spacing w:line="276" w:lineRule="auto"/>
        <w:ind w:firstLine="360"/>
        <w:rPr>
          <w:rStyle w:val="BodyTextChar1"/>
          <w:color w:val="000000"/>
          <w:sz w:val="24"/>
          <w:szCs w:val="24"/>
        </w:rPr>
      </w:pPr>
      <w:r w:rsidRPr="00FE2BE6">
        <w:rPr>
          <w:rStyle w:val="BodyTextChar1"/>
          <w:color w:val="000000"/>
          <w:sz w:val="24"/>
          <w:szCs w:val="24"/>
        </w:rPr>
        <w:t xml:space="preserve">The last part of the paper went deeper. It touched on doctrine, and on that doctrine which occupies a central place in the Romish system— transubstantiation. His own views on the dogma he did not particularly define in this appeal to Parliament, though he did so a little while after before the Convocation; he contented himself with craving liberty to have the true doctrine of the Eucharist, as given by Christ and His apostles, taught throughout England. In his </w:t>
      </w:r>
      <w:r w:rsidRPr="00FE2BE6">
        <w:rPr>
          <w:rStyle w:val="BodyTextChar1"/>
          <w:i/>
          <w:iCs/>
          <w:color w:val="000000"/>
          <w:sz w:val="24"/>
          <w:szCs w:val="24"/>
        </w:rPr>
        <w:t xml:space="preserve">Trialogus, </w:t>
      </w:r>
      <w:r w:rsidRPr="00FE2BE6">
        <w:rPr>
          <w:rStyle w:val="BodyTextChar1"/>
          <w:color w:val="000000"/>
          <w:sz w:val="24"/>
          <w:szCs w:val="24"/>
        </w:rPr>
        <w:t>which was composed about this time, he takes a lum</w:t>
      </w:r>
      <w:r w:rsidR="00667D78">
        <w:rPr>
          <w:rStyle w:val="BodyTextChar1"/>
          <w:color w:val="000000"/>
          <w:sz w:val="24"/>
          <w:szCs w:val="24"/>
        </w:rPr>
        <w:t>inous view of</w:t>
      </w:r>
      <w:r w:rsidRPr="00FE2BE6">
        <w:rPr>
          <w:rStyle w:val="BodyTextChar1"/>
          <w:color w:val="000000"/>
          <w:sz w:val="24"/>
          <w:szCs w:val="24"/>
        </w:rPr>
        <w:t xml:space="preserve"> </w:t>
      </w:r>
      <w:r w:rsidR="00667D78">
        <w:rPr>
          <w:rStyle w:val="BodyTextChar1"/>
          <w:color w:val="000000"/>
          <w:sz w:val="24"/>
          <w:szCs w:val="24"/>
        </w:rPr>
        <w:t>t</w:t>
      </w:r>
      <w:r w:rsidRPr="00FE2BE6">
        <w:rPr>
          <w:rStyle w:val="BodyTextChar1"/>
          <w:color w:val="000000"/>
          <w:sz w:val="24"/>
          <w:szCs w:val="24"/>
        </w:rPr>
        <w:t>he dogma of transubstantiation. Its effects, he believed, were peculiarly mischievous and far-extending. Not only was it an error, it was an error which enfeebled the understanding of the man who embraced it, and shook his confidence in the testimony of his senses, and so prepared the way for any absurdity or error, however much in opposition to reason or even to sense. The doctrine of the “real presence,” understood in a corporeal sense, he declares to be the offspring of Satan, whom he pictures as reasoning thus while inventing it:</w:t>
      </w:r>
    </w:p>
    <w:p w:rsidR="005162F8" w:rsidRPr="00FE2BE6" w:rsidRDefault="005162F8" w:rsidP="00FE2BE6">
      <w:pPr>
        <w:pStyle w:val="BodyText"/>
        <w:shd w:val="clear" w:color="auto" w:fill="auto"/>
        <w:spacing w:line="276" w:lineRule="auto"/>
        <w:ind w:firstLine="360"/>
        <w:rPr>
          <w:sz w:val="24"/>
          <w:szCs w:val="24"/>
        </w:rPr>
      </w:pPr>
      <w:r w:rsidRPr="00FE2BE6">
        <w:rPr>
          <w:rStyle w:val="BodyTextChar1"/>
          <w:color w:val="000000"/>
          <w:sz w:val="24"/>
          <w:szCs w:val="24"/>
        </w:rPr>
        <w:t>“Should I once so far beguile the faithful of th</w:t>
      </w:r>
      <w:r w:rsidR="00FE2BE6">
        <w:rPr>
          <w:rStyle w:val="BodyTextChar1"/>
          <w:color w:val="000000"/>
          <w:sz w:val="24"/>
          <w:szCs w:val="24"/>
        </w:rPr>
        <w:t>e</w:t>
      </w:r>
      <w:r w:rsidRPr="00FE2BE6">
        <w:rPr>
          <w:rStyle w:val="BodyTextChar1"/>
          <w:color w:val="000000"/>
          <w:sz w:val="24"/>
          <w:szCs w:val="24"/>
        </w:rPr>
        <w:t xml:space="preserve"> Church, by the aid of Antichrist my vicegerent, as to persuade them to deny that this Sacrament is bread, and to induce them to regard it as merely an accident, there will be nothing then which I will not bring them to receive, since there can</w:t>
      </w:r>
      <w:r w:rsidR="00FE2BE6">
        <w:rPr>
          <w:rStyle w:val="BodyTextChar1"/>
          <w:color w:val="000000"/>
          <w:sz w:val="24"/>
          <w:szCs w:val="24"/>
        </w:rPr>
        <w:t xml:space="preserve"> </w:t>
      </w:r>
      <w:r w:rsidRPr="00FE2BE6">
        <w:rPr>
          <w:rStyle w:val="BodyTextChar1"/>
          <w:color w:val="000000"/>
          <w:sz w:val="24"/>
          <w:szCs w:val="24"/>
        </w:rPr>
        <w:t>be nothing more opposite to the Scriptures, or to common discernment. Let the life of a prelate be then what it may, let him be guilty of luxury, simony, or murder, the people may be led to believe that he is really no such man—nay, they may then be persuaded to admit that the Pope is infallible, at least with respect to matters of Christian faith; and that, inasmuch as he is known by the name Most Holy Father, he is of course free from sin.”</w:t>
      </w:r>
      <w:r w:rsidR="00FE2BE6">
        <w:rPr>
          <w:rStyle w:val="FootnoteReference"/>
          <w:color w:val="000000"/>
          <w:sz w:val="24"/>
          <w:szCs w:val="24"/>
        </w:rPr>
        <w:footnoteReference w:id="3"/>
      </w:r>
    </w:p>
    <w:p w:rsidR="005162F8" w:rsidRPr="00FE2BE6" w:rsidRDefault="005162F8" w:rsidP="00FE2BE6">
      <w:pPr>
        <w:pStyle w:val="BodyText"/>
        <w:shd w:val="clear" w:color="auto" w:fill="auto"/>
        <w:spacing w:line="276" w:lineRule="auto"/>
        <w:ind w:firstLine="360"/>
        <w:rPr>
          <w:sz w:val="24"/>
          <w:szCs w:val="24"/>
        </w:rPr>
      </w:pPr>
      <w:r w:rsidRPr="00FE2BE6">
        <w:rPr>
          <w:rStyle w:val="BodyTextChar1"/>
          <w:color w:val="000000"/>
          <w:sz w:val="24"/>
          <w:szCs w:val="24"/>
        </w:rPr>
        <w:t>“It thus appears,” says Dr. Vaughan, comment</w:t>
      </w:r>
      <w:r w:rsidRPr="00FE2BE6">
        <w:rPr>
          <w:rStyle w:val="BodyTextChar1"/>
          <w:color w:val="000000"/>
          <w:sz w:val="24"/>
          <w:szCs w:val="24"/>
        </w:rPr>
        <w:softHyphen/>
        <w:t xml:space="preserve">ing on the above, “that the object of Wicliffe was to restore the mind of man to the legitimate guidance of </w:t>
      </w:r>
      <w:r w:rsidRPr="00FE2BE6">
        <w:rPr>
          <w:rStyle w:val="BodyTextChar1"/>
          <w:color w:val="000000"/>
          <w:sz w:val="24"/>
          <w:szCs w:val="24"/>
        </w:rPr>
        <w:lastRenderedPageBreak/>
        <w:t>reason and of the senses, in the study of Holy Writ, and in judging of every Christian institute; and that if the doctrine of transubstantiation proved peculiarly obnoxious to him, it was because that dogma was seen as in the most direct opposition to this generous design. To him it appeared that while the authority of the Church was so far sub</w:t>
      </w:r>
      <w:r w:rsidRPr="00FE2BE6">
        <w:rPr>
          <w:rStyle w:val="BodyTextChar1"/>
          <w:color w:val="000000"/>
          <w:sz w:val="24"/>
          <w:szCs w:val="24"/>
        </w:rPr>
        <w:softHyphen/>
        <w:t>mitted to as to involve the adoption of this monstrous tenet, no limit could possibly be assigned to the schemes of clerical imposture and oppression.”</w:t>
      </w:r>
    </w:p>
    <w:p w:rsidR="005162F8" w:rsidRPr="00FE2BE6" w:rsidRDefault="005162F8" w:rsidP="00FE2BE6">
      <w:pPr>
        <w:pStyle w:val="BodyText"/>
        <w:shd w:val="clear" w:color="auto" w:fill="auto"/>
        <w:spacing w:line="276" w:lineRule="auto"/>
        <w:ind w:firstLine="360"/>
        <w:rPr>
          <w:sz w:val="24"/>
          <w:szCs w:val="24"/>
        </w:rPr>
        <w:sectPr w:rsidR="005162F8" w:rsidRPr="00FE2BE6" w:rsidSect="00FE2BE6">
          <w:footerReference w:type="default" r:id="rId7"/>
          <w:pgSz w:w="11909" w:h="16834"/>
          <w:pgMar w:top="1728" w:right="2160" w:bottom="1728" w:left="2160" w:header="0" w:footer="720" w:gutter="0"/>
          <w:cols w:space="720"/>
          <w:noEndnote/>
          <w:docGrid w:linePitch="360"/>
        </w:sectPr>
      </w:pPr>
      <w:r w:rsidRPr="00FE2BE6">
        <w:rPr>
          <w:rStyle w:val="BodyTextChar1"/>
          <w:color w:val="000000"/>
          <w:sz w:val="24"/>
          <w:szCs w:val="24"/>
        </w:rPr>
        <w:t>The enemies of the Reformer’ must have been confounded by this bold attack. They had per</w:t>
      </w:r>
      <w:r w:rsidRPr="00FE2BE6">
        <w:rPr>
          <w:rStyle w:val="BodyTextChar1"/>
          <w:color w:val="000000"/>
          <w:sz w:val="24"/>
          <w:szCs w:val="24"/>
        </w:rPr>
        <w:softHyphen/>
        <w:t>suaded themselves that the hour was come when Wicliffe must yield. Hereford, Repingdon, Ashton —all his friends, one after the other, had reconciled themselves to the hierarchy. The priests waited to see Wicliffe come forward, last of all, and bow his majestic head, and then they would lead him</w:t>
      </w:r>
      <w:r w:rsidR="00FE2BE6">
        <w:rPr>
          <w:rStyle w:val="BodyTextChar1"/>
          <w:color w:val="000000"/>
          <w:sz w:val="24"/>
          <w:szCs w:val="24"/>
        </w:rPr>
        <w:t xml:space="preserve"> a</w:t>
      </w:r>
      <w:r w:rsidRPr="00FE2BE6">
        <w:rPr>
          <w:rStyle w:val="BodyTextChar1"/>
          <w:color w:val="000000"/>
          <w:sz w:val="24"/>
          <w:szCs w:val="24"/>
        </w:rPr>
        <w:t>bout in chains as a trophy of their victory, and a proof of the complete suppression of the movemen</w:t>
      </w:r>
      <w:r w:rsidR="00667D78">
        <w:rPr>
          <w:rStyle w:val="BodyTextChar1"/>
          <w:color w:val="000000"/>
          <w:sz w:val="24"/>
          <w:szCs w:val="24"/>
        </w:rPr>
        <w:t>t of Reform. He comes forward, b</w:t>
      </w:r>
      <w:r w:rsidRPr="00FE2BE6">
        <w:rPr>
          <w:rStyle w:val="BodyTextChar1"/>
          <w:color w:val="000000"/>
          <w:sz w:val="24"/>
          <w:szCs w:val="24"/>
        </w:rPr>
        <w:t>ut not to retract, not even to apologise, but with heart which grows only the stouter as his years increase and his enemies multiply, to reiterate his charges and again to proclaim in the face of the whole nation the cor</w:t>
      </w:r>
      <w:r w:rsidRPr="00FE2BE6">
        <w:rPr>
          <w:rStyle w:val="BodyTextChar1"/>
          <w:color w:val="000000"/>
          <w:sz w:val="24"/>
          <w:szCs w:val="24"/>
        </w:rPr>
        <w:softHyphen/>
        <w:t>ruption, tyranny, and errors of the hierarchy. His sentiments found an echo in the Commons, and Parliament repealed the persecuting edict which the priests and the king had surreptitiously passed. Thus the gain remained with Wicliffe.</w:t>
      </w:r>
    </w:p>
    <w:p w:rsidR="005162F8" w:rsidRDefault="005162F8" w:rsidP="00FE2BE6">
      <w:pPr>
        <w:pStyle w:val="BodyText"/>
        <w:shd w:val="clear" w:color="auto" w:fill="auto"/>
        <w:spacing w:line="276" w:lineRule="auto"/>
        <w:ind w:firstLine="0"/>
        <w:rPr>
          <w:sz w:val="2"/>
          <w:szCs w:val="2"/>
        </w:rPr>
      </w:pPr>
    </w:p>
    <w:sectPr w:rsidR="005162F8" w:rsidSect="00FE2BE6">
      <w:type w:val="continuous"/>
      <w:pgSz w:w="11909" w:h="16834"/>
      <w:pgMar w:top="1728" w:right="2160" w:bottom="1728" w:left="21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8FF" w:rsidRDefault="009128FF" w:rsidP="00FE2BE6">
      <w:r>
        <w:separator/>
      </w:r>
    </w:p>
  </w:endnote>
  <w:endnote w:type="continuationSeparator" w:id="0">
    <w:p w:rsidR="009128FF" w:rsidRDefault="009128FF" w:rsidP="00FE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BE6" w:rsidRPr="00FE2BE6" w:rsidRDefault="00FE2BE6">
    <w:pPr>
      <w:pStyle w:val="Footer"/>
      <w:jc w:val="center"/>
      <w:rPr>
        <w:rFonts w:ascii="Times New Roman" w:hAnsi="Times New Roman" w:cs="Times New Roman"/>
      </w:rPr>
    </w:pPr>
    <w:r w:rsidRPr="00FE2BE6">
      <w:rPr>
        <w:rFonts w:ascii="Times New Roman" w:hAnsi="Times New Roman" w:cs="Times New Roman"/>
      </w:rPr>
      <w:fldChar w:fldCharType="begin"/>
    </w:r>
    <w:r w:rsidRPr="00FE2BE6">
      <w:rPr>
        <w:rFonts w:ascii="Times New Roman" w:hAnsi="Times New Roman" w:cs="Times New Roman"/>
      </w:rPr>
      <w:instrText xml:space="preserve"> PAGE   \* MERGEFORMAT </w:instrText>
    </w:r>
    <w:r w:rsidRPr="00FE2BE6">
      <w:rPr>
        <w:rFonts w:ascii="Times New Roman" w:hAnsi="Times New Roman" w:cs="Times New Roman"/>
      </w:rPr>
      <w:fldChar w:fldCharType="separate"/>
    </w:r>
    <w:r w:rsidR="006A781C">
      <w:rPr>
        <w:rFonts w:ascii="Times New Roman" w:hAnsi="Times New Roman" w:cs="Times New Roman"/>
        <w:noProof/>
      </w:rPr>
      <w:t>2</w:t>
    </w:r>
    <w:r w:rsidRPr="00FE2BE6">
      <w:rPr>
        <w:rFonts w:ascii="Times New Roman" w:hAnsi="Times New Roman" w:cs="Times New Roman"/>
      </w:rPr>
      <w:fldChar w:fldCharType="end"/>
    </w:r>
  </w:p>
  <w:p w:rsidR="00FE2BE6" w:rsidRPr="00FE2BE6" w:rsidRDefault="00FE2BE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8FF" w:rsidRDefault="009128FF" w:rsidP="00FE2BE6">
      <w:r>
        <w:separator/>
      </w:r>
    </w:p>
  </w:footnote>
  <w:footnote w:type="continuationSeparator" w:id="0">
    <w:p w:rsidR="009128FF" w:rsidRDefault="009128FF" w:rsidP="00FE2BE6">
      <w:r>
        <w:continuationSeparator/>
      </w:r>
    </w:p>
  </w:footnote>
  <w:footnote w:id="1">
    <w:p w:rsidR="00000000" w:rsidRDefault="00FE2BE6" w:rsidP="00FE2BE6">
      <w:pPr>
        <w:pStyle w:val="FootnoteText"/>
        <w:spacing w:line="276" w:lineRule="auto"/>
        <w:ind w:firstLine="180"/>
        <w:jc w:val="both"/>
      </w:pPr>
      <w:r w:rsidRPr="00FE2BE6">
        <w:rPr>
          <w:rStyle w:val="FootnoteReference"/>
          <w:rFonts w:ascii="Times New Roman" w:hAnsi="Times New Roman"/>
        </w:rPr>
        <w:footnoteRef/>
      </w:r>
      <w:r w:rsidRPr="00FE2BE6">
        <w:rPr>
          <w:rFonts w:ascii="Times New Roman" w:hAnsi="Times New Roman" w:cs="Times New Roman"/>
        </w:rPr>
        <w:t xml:space="preserve"> </w:t>
      </w:r>
      <w:r w:rsidRPr="00FE2BE6">
        <w:rPr>
          <w:rStyle w:val="Bodytext2"/>
          <w:sz w:val="20"/>
          <w:szCs w:val="20"/>
        </w:rPr>
        <w:t xml:space="preserve">Fox, </w:t>
      </w:r>
      <w:r w:rsidRPr="00FE2BE6">
        <w:rPr>
          <w:rStyle w:val="Bodytext2"/>
          <w:i/>
          <w:iCs/>
          <w:sz w:val="20"/>
          <w:szCs w:val="20"/>
        </w:rPr>
        <w:t>Acts and Mon.,</w:t>
      </w:r>
      <w:r w:rsidRPr="00FE2BE6">
        <w:rPr>
          <w:rStyle w:val="Bodytext2"/>
          <w:sz w:val="20"/>
          <w:szCs w:val="20"/>
        </w:rPr>
        <w:t xml:space="preserve"> vol. i., p. 580.</w:t>
      </w:r>
    </w:p>
  </w:footnote>
  <w:footnote w:id="2">
    <w:p w:rsidR="00000000" w:rsidRDefault="00FE2BE6" w:rsidP="00FE2BE6">
      <w:pPr>
        <w:pStyle w:val="FootnoteText"/>
        <w:spacing w:line="276" w:lineRule="auto"/>
        <w:ind w:firstLine="180"/>
        <w:jc w:val="both"/>
      </w:pPr>
      <w:r w:rsidRPr="00FE2BE6">
        <w:rPr>
          <w:rStyle w:val="FootnoteReference"/>
          <w:rFonts w:ascii="Times New Roman" w:hAnsi="Times New Roman"/>
        </w:rPr>
        <w:footnoteRef/>
      </w:r>
      <w:r w:rsidRPr="00FE2BE6">
        <w:rPr>
          <w:rFonts w:ascii="Times New Roman" w:hAnsi="Times New Roman" w:cs="Times New Roman"/>
        </w:rPr>
        <w:t xml:space="preserve"> </w:t>
      </w:r>
      <w:r w:rsidRPr="00FE2BE6">
        <w:rPr>
          <w:rStyle w:val="Bodytext2"/>
          <w:sz w:val="20"/>
          <w:szCs w:val="20"/>
        </w:rPr>
        <w:t xml:space="preserve">Vaughan, vol. ii., p. 125. </w:t>
      </w:r>
      <w:r w:rsidRPr="00FE2BE6">
        <w:rPr>
          <w:rStyle w:val="Bodytext2"/>
          <w:i/>
          <w:iCs/>
          <w:sz w:val="20"/>
          <w:szCs w:val="20"/>
        </w:rPr>
        <w:t xml:space="preserve">A Complaint of John Wicliffe: </w:t>
      </w:r>
      <w:r w:rsidRPr="00FE2BE6">
        <w:rPr>
          <w:rStyle w:val="Bodytext2"/>
          <w:sz w:val="20"/>
          <w:szCs w:val="20"/>
        </w:rPr>
        <w:t>Tracts and Treatises edited by the Wicliffe Society, p. 208.</w:t>
      </w:r>
    </w:p>
  </w:footnote>
  <w:footnote w:id="3">
    <w:p w:rsidR="00000000" w:rsidRDefault="00FE2BE6" w:rsidP="00FE2BE6">
      <w:pPr>
        <w:pStyle w:val="FootnoteText"/>
        <w:spacing w:line="276" w:lineRule="auto"/>
        <w:ind w:firstLine="180"/>
        <w:jc w:val="both"/>
      </w:pPr>
      <w:r w:rsidRPr="00FE2BE6">
        <w:rPr>
          <w:rStyle w:val="FootnoteReference"/>
          <w:rFonts w:ascii="Times New Roman" w:hAnsi="Times New Roman"/>
        </w:rPr>
        <w:footnoteRef/>
      </w:r>
      <w:r w:rsidRPr="00FE2BE6">
        <w:rPr>
          <w:rFonts w:ascii="Times New Roman" w:hAnsi="Times New Roman" w:cs="Times New Roman"/>
        </w:rPr>
        <w:t xml:space="preserve"> </w:t>
      </w:r>
      <w:r w:rsidRPr="00FE2BE6">
        <w:rPr>
          <w:rStyle w:val="Bodytext2"/>
          <w:i/>
          <w:iCs/>
          <w:sz w:val="20"/>
          <w:szCs w:val="20"/>
        </w:rPr>
        <w:t>Trialogus,</w:t>
      </w:r>
      <w:r w:rsidRPr="00FE2BE6">
        <w:rPr>
          <w:rStyle w:val="Bodytext2"/>
          <w:sz w:val="20"/>
          <w:szCs w:val="20"/>
        </w:rPr>
        <w:t xml:space="preserve"> lib. iv., cap. 7. Vaughan, </w:t>
      </w:r>
      <w:r w:rsidRPr="00FE2BE6">
        <w:rPr>
          <w:rStyle w:val="Bodytext2"/>
          <w:i/>
          <w:iCs/>
          <w:sz w:val="20"/>
          <w:szCs w:val="20"/>
        </w:rPr>
        <w:t>Life of John de Wicliffe,</w:t>
      </w:r>
      <w:r w:rsidRPr="00FE2BE6">
        <w:rPr>
          <w:rStyle w:val="Bodytext2"/>
          <w:sz w:val="20"/>
          <w:szCs w:val="20"/>
        </w:rPr>
        <w:t xml:space="preserve"> vol. ii., p. 131. “Hoc sacramentum venerabile,” says Wicliffe, “est in natura sua verus panis et sacramentaliter corpus Christi’"’ </w:t>
      </w:r>
      <w:r w:rsidRPr="00FE2BE6">
        <w:rPr>
          <w:rStyle w:val="Bodytext2"/>
          <w:i/>
          <w:iCs/>
          <w:sz w:val="20"/>
          <w:szCs w:val="20"/>
        </w:rPr>
        <w:t>(Trialogus,</w:t>
      </w:r>
      <w:r w:rsidRPr="00FE2BE6">
        <w:rPr>
          <w:rStyle w:val="Bodytext2"/>
          <w:sz w:val="20"/>
          <w:szCs w:val="20"/>
        </w:rPr>
        <w:t xml:space="preserve"> p. 192)—</w:t>
      </w:r>
      <w:r w:rsidRPr="00FE2BE6">
        <w:rPr>
          <w:rStyle w:val="Bodytext2"/>
          <w:i/>
          <w:iCs/>
          <w:sz w:val="20"/>
          <w:szCs w:val="20"/>
        </w:rPr>
        <w:t xml:space="preserve">naturally </w:t>
      </w:r>
      <w:r w:rsidRPr="00FE2BE6">
        <w:rPr>
          <w:rStyle w:val="Bodytext2"/>
          <w:sz w:val="20"/>
          <w:szCs w:val="20"/>
        </w:rPr>
        <w:t>it is bread, sacramentally it is the body of Ch</w:t>
      </w:r>
      <w:r w:rsidR="00667D78">
        <w:rPr>
          <w:rStyle w:val="Bodytext2"/>
          <w:sz w:val="20"/>
          <w:szCs w:val="20"/>
        </w:rPr>
        <w:t>rist. “</w:t>
      </w:r>
      <w:r w:rsidRPr="00FE2BE6">
        <w:rPr>
          <w:rStyle w:val="Bodytext2"/>
          <w:sz w:val="20"/>
          <w:szCs w:val="20"/>
        </w:rPr>
        <w:t xml:space="preserve">By this distinction,” says Sharon Turner, “he removed from the most venerated part of religious worship the great provocative to infidelity; and preserved the English mind from that absolute rejection of Christianity which the Catholic doctrine of transubstantiation has, since the thirteenth century, been so fatally producing in every country where it predominates, even among many of its teachers.” </w:t>
      </w:r>
      <w:r w:rsidRPr="00FE2BE6">
        <w:rPr>
          <w:rStyle w:val="Bodytext2"/>
          <w:i/>
          <w:iCs/>
          <w:sz w:val="20"/>
          <w:szCs w:val="20"/>
        </w:rPr>
        <w:t>(Hist. of Eng.,</w:t>
      </w:r>
      <w:r w:rsidRPr="00FE2BE6">
        <w:rPr>
          <w:rStyle w:val="Bodytext2"/>
          <w:sz w:val="20"/>
          <w:szCs w:val="20"/>
        </w:rPr>
        <w:t xml:space="preserve"> vol. v., pp. 182,183.)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61A0"/>
    <w:rsid w:val="00316B08"/>
    <w:rsid w:val="005162F8"/>
    <w:rsid w:val="005A61A0"/>
    <w:rsid w:val="005F2632"/>
    <w:rsid w:val="00667D78"/>
    <w:rsid w:val="006A781C"/>
    <w:rsid w:val="006D0074"/>
    <w:rsid w:val="00744F60"/>
    <w:rsid w:val="009128FF"/>
    <w:rsid w:val="00FE2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F3D982D-02DA-4E38-9EFD-F2061A2D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Char1">
    <w:name w:val="Body Text Char1"/>
    <w:link w:val="BodyText"/>
    <w:uiPriority w:val="99"/>
    <w:locked/>
    <w:rPr>
      <w:rFonts w:ascii="Times New Roman" w:hAnsi="Times New Roman" w:cs="Times New Roman"/>
      <w:sz w:val="19"/>
      <w:szCs w:val="19"/>
      <w:u w:val="none"/>
    </w:rPr>
  </w:style>
  <w:style w:type="character" w:customStyle="1" w:styleId="Bodytext2">
    <w:name w:val="Body text (2)_"/>
    <w:link w:val="Bodytext20"/>
    <w:uiPriority w:val="99"/>
    <w:locked/>
    <w:rPr>
      <w:rFonts w:ascii="Times New Roman" w:hAnsi="Times New Roman" w:cs="Times New Roman"/>
      <w:sz w:val="17"/>
      <w:szCs w:val="17"/>
      <w:u w:val="none"/>
    </w:rPr>
  </w:style>
  <w:style w:type="paragraph" w:styleId="BodyText">
    <w:name w:val="Body Text"/>
    <w:basedOn w:val="Normal"/>
    <w:link w:val="BodyTextChar1"/>
    <w:uiPriority w:val="99"/>
    <w:qFormat/>
    <w:pPr>
      <w:shd w:val="clear" w:color="auto" w:fill="FFFFFF"/>
      <w:ind w:firstLine="260"/>
      <w:jc w:val="both"/>
    </w:pPr>
    <w:rPr>
      <w:rFonts w:ascii="Times New Roman" w:hAnsi="Times New Roman" w:cs="Times New Roman"/>
      <w:color w:val="auto"/>
      <w:sz w:val="19"/>
      <w:szCs w:val="19"/>
    </w:rPr>
  </w:style>
  <w:style w:type="character" w:customStyle="1" w:styleId="BodyTextChar">
    <w:name w:val="Body Text Char"/>
    <w:uiPriority w:val="99"/>
    <w:semiHidden/>
    <w:rPr>
      <w:color w:val="000000"/>
    </w:rPr>
  </w:style>
  <w:style w:type="character" w:customStyle="1" w:styleId="BodyTextChar2">
    <w:name w:val="Body Text Char2"/>
    <w:uiPriority w:val="99"/>
    <w:semiHidden/>
    <w:rPr>
      <w:rFonts w:cs="Georgia"/>
      <w:color w:val="000000"/>
    </w:rPr>
  </w:style>
  <w:style w:type="paragraph" w:customStyle="1" w:styleId="Bodytext20">
    <w:name w:val="Body text (2)"/>
    <w:basedOn w:val="Normal"/>
    <w:link w:val="Bodytext2"/>
    <w:uiPriority w:val="99"/>
    <w:pPr>
      <w:shd w:val="clear" w:color="auto" w:fill="FFFFFF"/>
      <w:spacing w:line="252" w:lineRule="auto"/>
      <w:ind w:left="170"/>
      <w:jc w:val="both"/>
    </w:pPr>
    <w:rPr>
      <w:rFonts w:ascii="Times New Roman" w:hAnsi="Times New Roman" w:cs="Times New Roman"/>
      <w:color w:val="auto"/>
      <w:sz w:val="17"/>
      <w:szCs w:val="17"/>
    </w:rPr>
  </w:style>
  <w:style w:type="paragraph" w:styleId="Header">
    <w:name w:val="header"/>
    <w:basedOn w:val="Normal"/>
    <w:link w:val="HeaderChar"/>
    <w:uiPriority w:val="99"/>
    <w:unhideWhenUsed/>
    <w:rsid w:val="00FE2BE6"/>
    <w:pPr>
      <w:tabs>
        <w:tab w:val="center" w:pos="4513"/>
        <w:tab w:val="right" w:pos="9026"/>
      </w:tabs>
    </w:pPr>
  </w:style>
  <w:style w:type="character" w:customStyle="1" w:styleId="HeaderChar">
    <w:name w:val="Header Char"/>
    <w:link w:val="Header"/>
    <w:uiPriority w:val="99"/>
    <w:locked/>
    <w:rsid w:val="00FE2BE6"/>
    <w:rPr>
      <w:rFonts w:cs="Georgia"/>
      <w:color w:val="000000"/>
    </w:rPr>
  </w:style>
  <w:style w:type="paragraph" w:styleId="Footer">
    <w:name w:val="footer"/>
    <w:basedOn w:val="Normal"/>
    <w:link w:val="FooterChar"/>
    <w:uiPriority w:val="99"/>
    <w:unhideWhenUsed/>
    <w:rsid w:val="00FE2BE6"/>
    <w:pPr>
      <w:tabs>
        <w:tab w:val="center" w:pos="4513"/>
        <w:tab w:val="right" w:pos="9026"/>
      </w:tabs>
    </w:pPr>
  </w:style>
  <w:style w:type="character" w:customStyle="1" w:styleId="FooterChar">
    <w:name w:val="Footer Char"/>
    <w:link w:val="Footer"/>
    <w:uiPriority w:val="99"/>
    <w:locked/>
    <w:rsid w:val="00FE2BE6"/>
    <w:rPr>
      <w:rFonts w:cs="Georgia"/>
      <w:color w:val="000000"/>
    </w:rPr>
  </w:style>
  <w:style w:type="paragraph" w:styleId="FootnoteText">
    <w:name w:val="footnote text"/>
    <w:basedOn w:val="Normal"/>
    <w:link w:val="FootnoteTextChar"/>
    <w:uiPriority w:val="99"/>
    <w:semiHidden/>
    <w:unhideWhenUsed/>
    <w:rsid w:val="00FE2BE6"/>
    <w:rPr>
      <w:sz w:val="20"/>
      <w:szCs w:val="20"/>
    </w:rPr>
  </w:style>
  <w:style w:type="character" w:customStyle="1" w:styleId="FootnoteTextChar">
    <w:name w:val="Footnote Text Char"/>
    <w:link w:val="FootnoteText"/>
    <w:uiPriority w:val="99"/>
    <w:semiHidden/>
    <w:locked/>
    <w:rsid w:val="00FE2BE6"/>
    <w:rPr>
      <w:rFonts w:cs="Georgia"/>
      <w:color w:val="000000"/>
      <w:sz w:val="20"/>
      <w:szCs w:val="20"/>
    </w:rPr>
  </w:style>
  <w:style w:type="character" w:styleId="FootnoteReference">
    <w:name w:val="footnote reference"/>
    <w:uiPriority w:val="99"/>
    <w:semiHidden/>
    <w:unhideWhenUsed/>
    <w:rsid w:val="00FE2BE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8D448-EC11-4A68-9AAD-3CD18706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5732</Characters>
  <Application>Microsoft Office Word</Application>
  <DocSecurity>0</DocSecurity>
  <Lines>133</Lines>
  <Paragraphs>27</Paragraphs>
  <ScaleCrop>false</ScaleCrop>
  <HeadingPairs>
    <vt:vector size="2" baseType="variant">
      <vt:variant>
        <vt:lpstr>Title</vt:lpstr>
      </vt:variant>
      <vt:variant>
        <vt:i4>1</vt:i4>
      </vt:variant>
    </vt:vector>
  </HeadingPairs>
  <TitlesOfParts>
    <vt:vector size="1" baseType="lpstr">
      <vt:lpstr>The history of protestantism with five hundred and fifty illustrations by the best artist [electronic resource]</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protestantism with five hundred and fifty illustrations by the best artist [electronic resource]</dc:title>
  <dc:subject/>
  <dc:creator>Wylie, J. A. (James Aitken), 1808-1890</dc:creator>
  <cp:keywords>ldpd_10827110_001</cp:keywords>
  <dc:description/>
  <cp:lastModifiedBy>Ray John</cp:lastModifiedBy>
  <cp:revision>2</cp:revision>
  <cp:lastPrinted>2017-11-11T21:59:00Z</cp:lastPrinted>
  <dcterms:created xsi:type="dcterms:W3CDTF">2017-11-11T22:02:00Z</dcterms:created>
  <dcterms:modified xsi:type="dcterms:W3CDTF">2017-11-11T22:02:00Z</dcterms:modified>
</cp:coreProperties>
</file>